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42"/>
        <w:gridCol w:w="3251"/>
        <w:gridCol w:w="142"/>
        <w:gridCol w:w="3978"/>
        <w:gridCol w:w="142"/>
        <w:gridCol w:w="1427"/>
        <w:gridCol w:w="142"/>
        <w:gridCol w:w="362"/>
        <w:gridCol w:w="142"/>
      </w:tblGrid>
      <w:tr w:rsidR="00993FCE" w:rsidTr="002D2F20">
        <w:tc>
          <w:tcPr>
            <w:tcW w:w="9978" w:type="dxa"/>
            <w:gridSpan w:val="10"/>
            <w:shd w:val="clear" w:color="auto" w:fill="auto"/>
          </w:tcPr>
          <w:p w:rsidR="00993FCE" w:rsidRDefault="00993FCE" w:rsidP="002D2F20">
            <w:pPr>
              <w:jc w:val="center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ТЕРРИТОРИАЛЬНАЯ  ИЗБИРАТЕЛЬНАЯ  КОМИССИЯ</w:t>
            </w:r>
          </w:p>
          <w:p w:rsidR="00993FCE" w:rsidRDefault="00993FCE" w:rsidP="002D2F20">
            <w:pPr>
              <w:jc w:val="center"/>
            </w:pPr>
            <w:r>
              <w:rPr>
                <w:rStyle w:val="a3"/>
                <w:sz w:val="28"/>
                <w:szCs w:val="28"/>
              </w:rPr>
              <w:t>КЛЕПИКОВСКОГО РАЙОНА РЯЗАНСКОЙ ОБЛАСТИ</w:t>
            </w:r>
          </w:p>
        </w:tc>
      </w:tr>
      <w:tr w:rsidR="00993FCE" w:rsidTr="002D2F20">
        <w:trPr>
          <w:trHeight w:val="630"/>
        </w:trPr>
        <w:tc>
          <w:tcPr>
            <w:tcW w:w="9978" w:type="dxa"/>
            <w:gridSpan w:val="10"/>
            <w:shd w:val="clear" w:color="auto" w:fill="auto"/>
          </w:tcPr>
          <w:p w:rsidR="00993FCE" w:rsidRDefault="00993FCE" w:rsidP="002D2F20">
            <w:pPr>
              <w:pStyle w:val="2"/>
              <w:jc w:val="center"/>
            </w:pPr>
            <w:proofErr w:type="gramStart"/>
            <w:r>
              <w:rPr>
                <w:i w:val="0"/>
              </w:rPr>
              <w:t>Р</w:t>
            </w:r>
            <w:proofErr w:type="gramEnd"/>
            <w:r>
              <w:rPr>
                <w:i w:val="0"/>
              </w:rPr>
              <w:t xml:space="preserve"> Е Ш Е Н И Е</w:t>
            </w:r>
          </w:p>
          <w:p w:rsidR="00993FCE" w:rsidRDefault="00993FCE" w:rsidP="002D2F20">
            <w:pPr>
              <w:jc w:val="center"/>
            </w:pPr>
          </w:p>
        </w:tc>
      </w:tr>
      <w:tr w:rsidR="00993FCE" w:rsidTr="002D2F20">
        <w:tblPrEx>
          <w:tblCellMar>
            <w:left w:w="0" w:type="dxa"/>
            <w:right w:w="0" w:type="dxa"/>
          </w:tblCellMar>
        </w:tblPrEx>
        <w:tc>
          <w:tcPr>
            <w:tcW w:w="250" w:type="dxa"/>
            <w:shd w:val="clear" w:color="auto" w:fill="auto"/>
          </w:tcPr>
          <w:p w:rsidR="00993FCE" w:rsidRDefault="00993FCE" w:rsidP="002D2F2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393" w:type="dxa"/>
            <w:gridSpan w:val="2"/>
            <w:shd w:val="clear" w:color="auto" w:fill="auto"/>
          </w:tcPr>
          <w:p w:rsidR="00993FCE" w:rsidRDefault="00993FCE" w:rsidP="002D2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 марта  2023 года</w:t>
            </w:r>
          </w:p>
        </w:tc>
        <w:tc>
          <w:tcPr>
            <w:tcW w:w="4120" w:type="dxa"/>
            <w:gridSpan w:val="2"/>
            <w:shd w:val="clear" w:color="auto" w:fill="auto"/>
          </w:tcPr>
          <w:p w:rsidR="00993FCE" w:rsidRDefault="00993FCE" w:rsidP="002D2F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993FCE" w:rsidRDefault="00993FCE" w:rsidP="00164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74/59</w:t>
            </w:r>
            <w:r w:rsidR="001645C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993FCE" w:rsidRDefault="00993FCE" w:rsidP="002D2F2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auto"/>
          </w:tcPr>
          <w:p w:rsidR="00993FCE" w:rsidRDefault="00993FCE" w:rsidP="002D2F20">
            <w:pPr>
              <w:snapToGrid w:val="0"/>
              <w:rPr>
                <w:sz w:val="28"/>
                <w:szCs w:val="28"/>
              </w:rPr>
            </w:pPr>
          </w:p>
        </w:tc>
      </w:tr>
      <w:tr w:rsidR="00993FCE" w:rsidTr="002D2F20">
        <w:tc>
          <w:tcPr>
            <w:tcW w:w="392" w:type="dxa"/>
            <w:gridSpan w:val="2"/>
            <w:shd w:val="clear" w:color="auto" w:fill="auto"/>
          </w:tcPr>
          <w:p w:rsidR="00993FCE" w:rsidRDefault="00993FCE" w:rsidP="002D2F20">
            <w:pPr>
              <w:snapToGrid w:val="0"/>
              <w:spacing w:line="200" w:lineRule="exac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393" w:type="dxa"/>
            <w:gridSpan w:val="2"/>
            <w:shd w:val="clear" w:color="auto" w:fill="auto"/>
          </w:tcPr>
          <w:p w:rsidR="00993FCE" w:rsidRDefault="00993FCE" w:rsidP="002D2F20">
            <w:pPr>
              <w:snapToGrid w:val="0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120" w:type="dxa"/>
            <w:gridSpan w:val="2"/>
            <w:shd w:val="clear" w:color="auto" w:fill="auto"/>
          </w:tcPr>
          <w:p w:rsidR="00993FCE" w:rsidRDefault="00993FCE" w:rsidP="002D2F20">
            <w:pPr>
              <w:snapToGrid w:val="0"/>
              <w:spacing w:line="200" w:lineRule="exac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993FCE" w:rsidRDefault="00993FCE" w:rsidP="002D2F20">
            <w:pPr>
              <w:snapToGrid w:val="0"/>
              <w:spacing w:line="200" w:lineRule="exac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04" w:type="dxa"/>
            <w:gridSpan w:val="2"/>
            <w:shd w:val="clear" w:color="auto" w:fill="auto"/>
          </w:tcPr>
          <w:p w:rsidR="00993FCE" w:rsidRDefault="00993FCE" w:rsidP="002D2F20">
            <w:pPr>
              <w:snapToGrid w:val="0"/>
              <w:spacing w:line="200" w:lineRule="exact"/>
              <w:rPr>
                <w:sz w:val="28"/>
                <w:szCs w:val="28"/>
                <w:vertAlign w:val="superscript"/>
              </w:rPr>
            </w:pPr>
          </w:p>
        </w:tc>
      </w:tr>
    </w:tbl>
    <w:p w:rsidR="00993FCE" w:rsidRDefault="00993FCE" w:rsidP="00993FCE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досрочном прекращении полномочий членов участковой</w:t>
      </w:r>
    </w:p>
    <w:p w:rsidR="00993FCE" w:rsidRDefault="00993FCE" w:rsidP="00993FCE">
      <w:pPr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избирательной  комиссии избирательного участка № 17</w:t>
      </w:r>
      <w:r w:rsidR="001645C5">
        <w:rPr>
          <w:sz w:val="28"/>
          <w:szCs w:val="28"/>
        </w:rPr>
        <w:t>5</w:t>
      </w:r>
    </w:p>
    <w:p w:rsidR="00993FCE" w:rsidRDefault="00993FCE" w:rsidP="00993FCE">
      <w:pPr>
        <w:jc w:val="center"/>
      </w:pPr>
    </w:p>
    <w:p w:rsidR="00993FCE" w:rsidRDefault="00993FCE" w:rsidP="00993FCE">
      <w:pPr>
        <w:pStyle w:val="21"/>
        <w:spacing w:line="276" w:lineRule="auto"/>
        <w:ind w:right="-85" w:firstLine="709"/>
      </w:pPr>
    </w:p>
    <w:p w:rsidR="00993FCE" w:rsidRDefault="00993FCE" w:rsidP="00993FCE">
      <w:pPr>
        <w:pStyle w:val="21"/>
        <w:spacing w:line="276" w:lineRule="auto"/>
        <w:ind w:right="-85" w:firstLine="709"/>
        <w:rPr>
          <w:szCs w:val="28"/>
        </w:rPr>
      </w:pPr>
      <w:proofErr w:type="gramStart"/>
      <w:r>
        <w:rPr>
          <w:szCs w:val="28"/>
        </w:rPr>
        <w:t>В связи с подачей заявления в письменной форме от 14.03.2023 г. о досрочном сложении полномочий члена участковой избирательной комиссии с правом решающего голоса избирательного участка № 17</w:t>
      </w:r>
      <w:r w:rsidR="001645C5">
        <w:rPr>
          <w:szCs w:val="28"/>
        </w:rPr>
        <w:t>5</w:t>
      </w:r>
      <w:r>
        <w:rPr>
          <w:szCs w:val="28"/>
        </w:rPr>
        <w:t xml:space="preserve"> </w:t>
      </w:r>
      <w:proofErr w:type="spellStart"/>
      <w:r w:rsidR="001645C5">
        <w:rPr>
          <w:szCs w:val="28"/>
        </w:rPr>
        <w:t>Алешовой</w:t>
      </w:r>
      <w:proofErr w:type="spellEnd"/>
      <w:r w:rsidR="001645C5">
        <w:rPr>
          <w:szCs w:val="28"/>
        </w:rPr>
        <w:t xml:space="preserve"> Надежды Николаевны</w:t>
      </w:r>
      <w:r>
        <w:rPr>
          <w:szCs w:val="28"/>
        </w:rPr>
        <w:t xml:space="preserve">, </w:t>
      </w:r>
      <w:r w:rsidR="001645C5">
        <w:rPr>
          <w:szCs w:val="28"/>
        </w:rPr>
        <w:t>31</w:t>
      </w:r>
      <w:r>
        <w:rPr>
          <w:szCs w:val="28"/>
        </w:rPr>
        <w:t xml:space="preserve"> </w:t>
      </w:r>
      <w:r w:rsidR="001645C5">
        <w:rPr>
          <w:szCs w:val="28"/>
        </w:rPr>
        <w:t>августа</w:t>
      </w:r>
      <w:r>
        <w:rPr>
          <w:szCs w:val="28"/>
        </w:rPr>
        <w:t xml:space="preserve"> 197</w:t>
      </w:r>
      <w:r w:rsidR="001645C5">
        <w:rPr>
          <w:szCs w:val="28"/>
        </w:rPr>
        <w:t>4</w:t>
      </w:r>
      <w:r>
        <w:rPr>
          <w:szCs w:val="28"/>
        </w:rPr>
        <w:t xml:space="preserve"> года рождения, предложенной </w:t>
      </w:r>
      <w:r w:rsidR="001645C5">
        <w:rPr>
          <w:szCs w:val="28"/>
        </w:rPr>
        <w:t>собранием избирателей по месту жительства</w:t>
      </w:r>
      <w:r>
        <w:rPr>
          <w:szCs w:val="28"/>
        </w:rPr>
        <w:t xml:space="preserve">, </w:t>
      </w:r>
      <w:r w:rsidR="001645C5">
        <w:rPr>
          <w:szCs w:val="28"/>
        </w:rPr>
        <w:t>Исаева Андрея Ивановича</w:t>
      </w:r>
      <w:r>
        <w:rPr>
          <w:szCs w:val="28"/>
        </w:rPr>
        <w:t xml:space="preserve">, </w:t>
      </w:r>
      <w:r w:rsidR="001645C5">
        <w:rPr>
          <w:szCs w:val="28"/>
        </w:rPr>
        <w:t>30</w:t>
      </w:r>
      <w:r>
        <w:rPr>
          <w:szCs w:val="28"/>
        </w:rPr>
        <w:t xml:space="preserve"> </w:t>
      </w:r>
      <w:r w:rsidR="001645C5">
        <w:rPr>
          <w:szCs w:val="28"/>
        </w:rPr>
        <w:t>ноября</w:t>
      </w:r>
      <w:r>
        <w:rPr>
          <w:szCs w:val="28"/>
        </w:rPr>
        <w:t xml:space="preserve"> 19</w:t>
      </w:r>
      <w:r w:rsidR="001645C5">
        <w:rPr>
          <w:szCs w:val="28"/>
        </w:rPr>
        <w:t>61</w:t>
      </w:r>
      <w:r>
        <w:rPr>
          <w:szCs w:val="28"/>
        </w:rPr>
        <w:t xml:space="preserve"> года рождения, предложенно</w:t>
      </w:r>
      <w:r w:rsidR="001645C5">
        <w:rPr>
          <w:szCs w:val="28"/>
        </w:rPr>
        <w:t>го</w:t>
      </w:r>
      <w:r>
        <w:rPr>
          <w:szCs w:val="28"/>
        </w:rPr>
        <w:t xml:space="preserve"> собранием избирателей по месту жительства,</w:t>
      </w:r>
      <w:r w:rsidR="001645C5">
        <w:rPr>
          <w:szCs w:val="28"/>
        </w:rPr>
        <w:t xml:space="preserve"> Исаевой Марины </w:t>
      </w:r>
      <w:proofErr w:type="spellStart"/>
      <w:r w:rsidR="001645C5">
        <w:rPr>
          <w:szCs w:val="28"/>
        </w:rPr>
        <w:t>Джуракуловны</w:t>
      </w:r>
      <w:proofErr w:type="spellEnd"/>
      <w:r w:rsidR="001645C5">
        <w:rPr>
          <w:szCs w:val="28"/>
        </w:rPr>
        <w:t>, 6 июня 1961</w:t>
      </w:r>
      <w:proofErr w:type="gramEnd"/>
      <w:r w:rsidR="001645C5">
        <w:rPr>
          <w:szCs w:val="28"/>
        </w:rPr>
        <w:t xml:space="preserve"> года рождения, </w:t>
      </w:r>
      <w:r w:rsidR="001645C5">
        <w:rPr>
          <w:szCs w:val="28"/>
        </w:rPr>
        <w:t>предложенной собранием избирателей по месту жительства</w:t>
      </w:r>
      <w:r>
        <w:rPr>
          <w:szCs w:val="28"/>
        </w:rPr>
        <w:t xml:space="preserve"> на основании подпункта «а» пункта 6 статьи 29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 </w:t>
      </w:r>
      <w:proofErr w:type="spellStart"/>
      <w:r>
        <w:rPr>
          <w:szCs w:val="28"/>
        </w:rPr>
        <w:t>Клепиковского</w:t>
      </w:r>
      <w:proofErr w:type="spellEnd"/>
      <w:r>
        <w:rPr>
          <w:szCs w:val="28"/>
        </w:rPr>
        <w:t xml:space="preserve"> района </w:t>
      </w: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и л а:</w:t>
      </w:r>
    </w:p>
    <w:p w:rsidR="00993FCE" w:rsidRDefault="00993FCE" w:rsidP="00993FCE">
      <w:pPr>
        <w:pStyle w:val="21"/>
        <w:spacing w:line="276" w:lineRule="auto"/>
        <w:ind w:right="-85" w:firstLine="709"/>
        <w:rPr>
          <w:szCs w:val="28"/>
        </w:rPr>
      </w:pPr>
    </w:p>
    <w:p w:rsidR="00993FCE" w:rsidRDefault="00993FCE" w:rsidP="00993FCE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1.Досрочно освободить от обязанностей члена участковой избирательной комиссии с правом решающего голоса избирательного участка № 17</w:t>
      </w:r>
      <w:r w:rsidR="001645C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 w:rsidR="001645C5">
        <w:rPr>
          <w:sz w:val="28"/>
          <w:szCs w:val="28"/>
        </w:rPr>
        <w:t>Алешову</w:t>
      </w:r>
      <w:proofErr w:type="spellEnd"/>
      <w:r w:rsidR="001645C5">
        <w:rPr>
          <w:sz w:val="28"/>
          <w:szCs w:val="28"/>
        </w:rPr>
        <w:t xml:space="preserve"> Надежду Николаевну, Исаева Андрея Ивановича, Исаеву Марину Джуракуловну</w:t>
      </w:r>
      <w:bookmarkStart w:id="0" w:name="_GoBack"/>
      <w:bookmarkEnd w:id="0"/>
      <w:r>
        <w:rPr>
          <w:sz w:val="28"/>
          <w:szCs w:val="28"/>
        </w:rPr>
        <w:t xml:space="preserve"> и перевести в резерв.  </w:t>
      </w:r>
    </w:p>
    <w:p w:rsidR="00993FCE" w:rsidRDefault="00993FCE" w:rsidP="00993FCE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Направить данное решение в Избирательную комиссию Рязанской области.</w:t>
      </w:r>
    </w:p>
    <w:p w:rsidR="00993FCE" w:rsidRDefault="00993FCE" w:rsidP="00993FCE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района.</w:t>
      </w:r>
    </w:p>
    <w:p w:rsidR="00993FCE" w:rsidRDefault="00993FCE" w:rsidP="00993FCE">
      <w:pPr>
        <w:pStyle w:val="a4"/>
        <w:spacing w:after="0"/>
        <w:ind w:left="0"/>
        <w:jc w:val="both"/>
        <w:rPr>
          <w:sz w:val="28"/>
          <w:szCs w:val="28"/>
        </w:rPr>
      </w:pPr>
    </w:p>
    <w:p w:rsidR="00993FCE" w:rsidRDefault="00993FCE" w:rsidP="00993FCE">
      <w:pPr>
        <w:pStyle w:val="a4"/>
        <w:spacing w:after="0"/>
        <w:ind w:left="0"/>
        <w:jc w:val="both"/>
        <w:rPr>
          <w:sz w:val="28"/>
          <w:szCs w:val="28"/>
        </w:rPr>
      </w:pPr>
    </w:p>
    <w:p w:rsidR="00993FCE" w:rsidRDefault="00993FCE" w:rsidP="00993FC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993FCE" w:rsidRDefault="00993FCE" w:rsidP="00993FC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 Ананьева</w:t>
      </w:r>
    </w:p>
    <w:p w:rsidR="00993FCE" w:rsidRDefault="00993FCE" w:rsidP="00993F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93FCE" w:rsidRDefault="00993FCE" w:rsidP="00993FC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993FCE" w:rsidRDefault="00993FCE" w:rsidP="00993FCE">
      <w:pPr>
        <w:ind w:left="284"/>
        <w:jc w:val="both"/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 Лапина</w:t>
      </w:r>
    </w:p>
    <w:p w:rsidR="00B03414" w:rsidRDefault="00B03414"/>
    <w:sectPr w:rsidR="00B03414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82"/>
    <w:rsid w:val="001645C5"/>
    <w:rsid w:val="006C4882"/>
    <w:rsid w:val="00993FCE"/>
    <w:rsid w:val="00B0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93FC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3FC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993FCE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rsid w:val="00993FC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93F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993FCE"/>
    <w:pPr>
      <w:spacing w:line="288" w:lineRule="auto"/>
      <w:ind w:right="-86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93FC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3FC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993FCE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rsid w:val="00993FC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93F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993FCE"/>
    <w:pPr>
      <w:spacing w:line="288" w:lineRule="auto"/>
      <w:ind w:right="-86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</cp:revision>
  <dcterms:created xsi:type="dcterms:W3CDTF">2023-03-17T08:21:00Z</dcterms:created>
  <dcterms:modified xsi:type="dcterms:W3CDTF">2023-03-17T08:39:00Z</dcterms:modified>
</cp:coreProperties>
</file>